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C2" w:rsidRPr="00A3175D" w:rsidRDefault="009453C8" w:rsidP="00E56027">
      <w:pPr>
        <w:jc w:val="center"/>
        <w:rPr>
          <w:b/>
        </w:rPr>
      </w:pPr>
      <w:r w:rsidRPr="00A3175D">
        <w:rPr>
          <w:b/>
        </w:rPr>
        <w:t xml:space="preserve">The </w:t>
      </w:r>
      <w:r w:rsidR="007D3C82">
        <w:rPr>
          <w:b/>
        </w:rPr>
        <w:t>F</w:t>
      </w:r>
      <w:r w:rsidR="007D3C82" w:rsidRPr="00A3175D">
        <w:rPr>
          <w:b/>
        </w:rPr>
        <w:t xml:space="preserve">uture </w:t>
      </w:r>
      <w:r w:rsidRPr="00A3175D">
        <w:rPr>
          <w:b/>
        </w:rPr>
        <w:t xml:space="preserve">of the </w:t>
      </w:r>
      <w:r w:rsidR="007D3C82">
        <w:rPr>
          <w:b/>
        </w:rPr>
        <w:t>H</w:t>
      </w:r>
      <w:r w:rsidR="007D3C82" w:rsidRPr="00A3175D">
        <w:rPr>
          <w:b/>
        </w:rPr>
        <w:t xml:space="preserve">umanities </w:t>
      </w:r>
      <w:r w:rsidRPr="00A3175D">
        <w:rPr>
          <w:b/>
        </w:rPr>
        <w:t>PhD at Stanford.</w:t>
      </w:r>
    </w:p>
    <w:p w:rsidR="009453C8" w:rsidRDefault="009453C8"/>
    <w:p w:rsidR="00305C6C" w:rsidRDefault="00071134">
      <w:r>
        <w:t xml:space="preserve">In fall and winter terms 2011/12, a group of senior faculty </w:t>
      </w:r>
      <w:r w:rsidR="00AB1713">
        <w:t xml:space="preserve">gathered </w:t>
      </w:r>
      <w:r>
        <w:t xml:space="preserve">to discuss the future of the humanities PhD. We asked ourselves: </w:t>
      </w:r>
      <w:r w:rsidR="009453C8" w:rsidRPr="00305C6C">
        <w:rPr>
          <w:i/>
        </w:rPr>
        <w:t xml:space="preserve">Can </w:t>
      </w:r>
      <w:r w:rsidR="006A6529" w:rsidRPr="00305C6C">
        <w:rPr>
          <w:i/>
        </w:rPr>
        <w:t xml:space="preserve">and should </w:t>
      </w:r>
      <w:r w:rsidR="009453C8" w:rsidRPr="00305C6C">
        <w:rPr>
          <w:i/>
        </w:rPr>
        <w:t>the humanities PhD remain centrally relevant – at Stanford, in the academy, and</w:t>
      </w:r>
      <w:r w:rsidR="00305C6C">
        <w:rPr>
          <w:i/>
        </w:rPr>
        <w:t xml:space="preserve"> in an increasingly global and cosmopolitan </w:t>
      </w:r>
      <w:r w:rsidR="009453C8" w:rsidRPr="00305C6C">
        <w:rPr>
          <w:i/>
        </w:rPr>
        <w:t>21</w:t>
      </w:r>
      <w:r w:rsidR="009453C8" w:rsidRPr="00305C6C">
        <w:rPr>
          <w:i/>
          <w:vertAlign w:val="superscript"/>
        </w:rPr>
        <w:t>st</w:t>
      </w:r>
      <w:r w:rsidR="009453C8" w:rsidRPr="00305C6C">
        <w:rPr>
          <w:i/>
        </w:rPr>
        <w:t xml:space="preserve"> century society</w:t>
      </w:r>
      <w:r w:rsidR="009453C8">
        <w:t xml:space="preserve">? </w:t>
      </w:r>
      <w:r>
        <w:t xml:space="preserve">We </w:t>
      </w:r>
      <w:r w:rsidR="00A3175D">
        <w:t>collected</w:t>
      </w:r>
      <w:r w:rsidR="00305C6C">
        <w:t xml:space="preserve"> and reviewed literature bearing on that question, along with </w:t>
      </w:r>
      <w:r w:rsidR="00AB1713">
        <w:t xml:space="preserve">some </w:t>
      </w:r>
      <w:r w:rsidR="00305C6C">
        <w:t xml:space="preserve">data </w:t>
      </w:r>
      <w:r w:rsidR="00AB1713">
        <w:t xml:space="preserve">from the Humanities and Sciences Dean </w:t>
      </w:r>
      <w:r w:rsidR="00305C6C">
        <w:t>on humanities PhD programs at Stanford</w:t>
      </w:r>
      <w:r w:rsidR="00A3175D">
        <w:t>. The data focused</w:t>
      </w:r>
      <w:r w:rsidR="00285105">
        <w:t xml:space="preserve"> on time to degree and careers </w:t>
      </w:r>
      <w:r w:rsidR="00305C6C">
        <w:t xml:space="preserve"> of PhD’s.  As a result of our reading and deliberations, our collective answer to the question about the future relevance of the humanities PhD is</w:t>
      </w:r>
      <w:r w:rsidR="00285105">
        <w:t>,</w:t>
      </w:r>
      <w:r w:rsidR="00305C6C">
        <w:t xml:space="preserve"> “Yes, the humanities PhD </w:t>
      </w:r>
      <w:r w:rsidR="00305C6C">
        <w:rPr>
          <w:i/>
        </w:rPr>
        <w:t>should</w:t>
      </w:r>
      <w:r w:rsidR="00305C6C">
        <w:t xml:space="preserve"> remain relevant. And yes it </w:t>
      </w:r>
      <w:r w:rsidR="00305C6C">
        <w:rPr>
          <w:i/>
        </w:rPr>
        <w:t>can</w:t>
      </w:r>
      <w:r w:rsidR="00305C6C">
        <w:t xml:space="preserve"> remain</w:t>
      </w:r>
      <w:r w:rsidR="00285105">
        <w:t xml:space="preserve"> relevant</w:t>
      </w:r>
      <w:r w:rsidR="00305C6C">
        <w:t xml:space="preserve">, </w:t>
      </w:r>
      <w:r w:rsidR="00305C6C" w:rsidRPr="00305C6C">
        <w:rPr>
          <w:i/>
        </w:rPr>
        <w:t>but only if</w:t>
      </w:r>
      <w:r w:rsidR="00305C6C">
        <w:t xml:space="preserve">…” The rest of this document </w:t>
      </w:r>
      <w:r w:rsidR="00285105">
        <w:t>completes</w:t>
      </w:r>
      <w:r w:rsidR="00305C6C">
        <w:t xml:space="preserve"> the last sentence. </w:t>
      </w:r>
    </w:p>
    <w:p w:rsidR="00305C6C" w:rsidRDefault="00305C6C"/>
    <w:p w:rsidR="009453C8" w:rsidRDefault="00305C6C">
      <w:r>
        <w:t xml:space="preserve">We </w:t>
      </w:r>
      <w:r w:rsidR="00071134">
        <w:t>believe that t</w:t>
      </w:r>
      <w:r w:rsidR="006A6529">
        <w:t>he humanities</w:t>
      </w:r>
      <w:r w:rsidR="009453C8">
        <w:t xml:space="preserve"> </w:t>
      </w:r>
      <w:r w:rsidR="006A6529">
        <w:t xml:space="preserve">are </w:t>
      </w:r>
      <w:r w:rsidR="006A6529" w:rsidRPr="00305C6C">
        <w:rPr>
          <w:i/>
        </w:rPr>
        <w:t>unlikely</w:t>
      </w:r>
      <w:r w:rsidR="006A6529">
        <w:t xml:space="preserve"> to remain relevant</w:t>
      </w:r>
      <w:r w:rsidR="00071134">
        <w:t>,</w:t>
      </w:r>
      <w:r w:rsidR="006A6529">
        <w:t xml:space="preserve"> </w:t>
      </w:r>
      <w:r w:rsidR="009453C8">
        <w:t xml:space="preserve">unless </w:t>
      </w:r>
      <w:r w:rsidR="00071134">
        <w:t xml:space="preserve">significant </w:t>
      </w:r>
      <w:r w:rsidR="009453C8">
        <w:t>changes are made</w:t>
      </w:r>
      <w:r w:rsidR="006A6529">
        <w:t xml:space="preserve"> in how professional humanists are trained</w:t>
      </w:r>
      <w:r w:rsidR="009453C8">
        <w:t xml:space="preserve">. </w:t>
      </w:r>
      <w:r w:rsidR="009D2219">
        <w:t>Our review of relevant literature and data, both from Stanford and from outside, has given us</w:t>
      </w:r>
      <w:r w:rsidR="00071134">
        <w:t xml:space="preserve"> a good sense of </w:t>
      </w:r>
      <w:r w:rsidR="009D2219">
        <w:t xml:space="preserve">what </w:t>
      </w:r>
      <w:r w:rsidR="00071134">
        <w:t>the</w:t>
      </w:r>
      <w:r w:rsidR="009D2219">
        <w:t>se</w:t>
      </w:r>
      <w:r w:rsidR="00071134">
        <w:t xml:space="preserve"> changes </w:t>
      </w:r>
      <w:r w:rsidR="009D2219">
        <w:t>are</w:t>
      </w:r>
      <w:r w:rsidR="00071134">
        <w:t xml:space="preserve">. We believe that Stanford -- </w:t>
      </w:r>
      <w:r w:rsidR="009453C8">
        <w:t xml:space="preserve">with its </w:t>
      </w:r>
      <w:r w:rsidR="009D2219">
        <w:t xml:space="preserve">educational </w:t>
      </w:r>
      <w:r w:rsidR="007D3C82">
        <w:t>prominence</w:t>
      </w:r>
      <w:r w:rsidR="009453C8">
        <w:t>, culture of innovation and its gre</w:t>
      </w:r>
      <w:r w:rsidR="00071134">
        <w:t xml:space="preserve">at human and material resources -- </w:t>
      </w:r>
      <w:r w:rsidR="009453C8">
        <w:t xml:space="preserve">should be a leader in driving those changes. </w:t>
      </w:r>
    </w:p>
    <w:p w:rsidR="009453C8" w:rsidRDefault="009453C8"/>
    <w:p w:rsidR="00305C6C" w:rsidRDefault="009453C8">
      <w:r>
        <w:t xml:space="preserve">Freshly minted humanities PhD’s face a difficult job market, </w:t>
      </w:r>
      <w:r w:rsidR="006A6529">
        <w:t xml:space="preserve">one </w:t>
      </w:r>
      <w:r>
        <w:t xml:space="preserve">in which only a small fraction can expect to </w:t>
      </w:r>
      <w:r w:rsidR="006A6529">
        <w:t>secure</w:t>
      </w:r>
      <w:r>
        <w:t xml:space="preserve"> tenurable positi</w:t>
      </w:r>
      <w:r w:rsidR="006A6529">
        <w:t xml:space="preserve">ons at </w:t>
      </w:r>
      <w:r w:rsidR="009D2219">
        <w:t>the Research-One institutions for which they are primarily, if not exclusively, trained</w:t>
      </w:r>
      <w:r w:rsidR="006A6529">
        <w:t>. M</w:t>
      </w:r>
      <w:r>
        <w:t xml:space="preserve">any qualified </w:t>
      </w:r>
      <w:r w:rsidR="006A6529">
        <w:t xml:space="preserve">humanities </w:t>
      </w:r>
      <w:r>
        <w:t xml:space="preserve">PhD’s </w:t>
      </w:r>
      <w:r w:rsidR="00305C6C">
        <w:t>do</w:t>
      </w:r>
      <w:r>
        <w:t xml:space="preserve"> not find permanent positions in higher education. </w:t>
      </w:r>
      <w:r w:rsidR="00AB1713">
        <w:t xml:space="preserve">Although doctoral programs often convey the message that the only </w:t>
      </w:r>
      <w:r w:rsidR="009D2219">
        <w:t xml:space="preserve">acceptable </w:t>
      </w:r>
      <w:r w:rsidR="00AB1713">
        <w:t>career for graduates involve</w:t>
      </w:r>
      <w:r w:rsidR="007D3C82">
        <w:t>s</w:t>
      </w:r>
      <w:r w:rsidR="00AB1713">
        <w:t xml:space="preserve"> research positions in peer institutions, </w:t>
      </w:r>
      <w:r w:rsidR="00371B07">
        <w:t xml:space="preserve">in fact may PhD recipients pursue very different careers, including faculty positions in primarily teaching institutions, non-faculty positions inside higher education and opportunities outside of higher education altogether, whether in government, non-profits or the private sector. </w:t>
      </w:r>
    </w:p>
    <w:p w:rsidR="00305C6C" w:rsidRDefault="00305C6C"/>
    <w:p w:rsidR="00280C32" w:rsidRDefault="0008032E">
      <w:r>
        <w:t xml:space="preserve">In light of the massive investment </w:t>
      </w:r>
      <w:r w:rsidR="006A6529">
        <w:t xml:space="preserve">of time, effort, and money, </w:t>
      </w:r>
      <w:r>
        <w:t xml:space="preserve">on the part of students and universities alike, </w:t>
      </w:r>
      <w:r w:rsidR="00280C32">
        <w:t xml:space="preserve">it is imperative that </w:t>
      </w:r>
      <w:r w:rsidR="007D3C82">
        <w:t xml:space="preserve">this </w:t>
      </w:r>
      <w:r w:rsidR="00280C32">
        <w:t>genuine range of career outcomes be recognized and that doctoral programs be designed to prepare students appropriately and expeditiously.</w:t>
      </w:r>
    </w:p>
    <w:p w:rsidR="006A6529" w:rsidRDefault="006A6529"/>
    <w:p w:rsidR="00071134" w:rsidRDefault="0008032E">
      <w:r>
        <w:t xml:space="preserve">We </w:t>
      </w:r>
      <w:r w:rsidR="006A6529">
        <w:t xml:space="preserve">submit </w:t>
      </w:r>
      <w:r>
        <w:t xml:space="preserve">that </w:t>
      </w:r>
      <w:r w:rsidR="00071134">
        <w:t>the humanit</w:t>
      </w:r>
      <w:r w:rsidR="00A3175D">
        <w:t>i</w:t>
      </w:r>
      <w:r w:rsidR="00071134">
        <w:t xml:space="preserve">es PhD can </w:t>
      </w:r>
      <w:r w:rsidR="00285105">
        <w:t xml:space="preserve">be returned to a position of central importance, at Stanford and in </w:t>
      </w:r>
      <w:r w:rsidR="00280C32">
        <w:t>higher education elsewhere</w:t>
      </w:r>
      <w:r w:rsidR="00285105">
        <w:t>,</w:t>
      </w:r>
      <w:r>
        <w:t xml:space="preserve"> by</w:t>
      </w:r>
      <w:r w:rsidR="00071134">
        <w:t xml:space="preserve"> taking two steps: </w:t>
      </w:r>
    </w:p>
    <w:p w:rsidR="00071134" w:rsidRDefault="00071134" w:rsidP="00071134">
      <w:pPr>
        <w:pStyle w:val="ListParagraph"/>
        <w:numPr>
          <w:ilvl w:val="0"/>
          <w:numId w:val="3"/>
        </w:numPr>
      </w:pPr>
      <w:r>
        <w:t>R</w:t>
      </w:r>
      <w:r w:rsidR="0008032E">
        <w:t>ationalizing the investment (on the part of</w:t>
      </w:r>
      <w:r w:rsidR="00285105">
        <w:t xml:space="preserve"> students and </w:t>
      </w:r>
      <w:r w:rsidR="007D3C82">
        <w:t xml:space="preserve">the </w:t>
      </w:r>
      <w:r w:rsidR="00285105">
        <w:t xml:space="preserve">university), </w:t>
      </w:r>
      <w:r w:rsidR="0008032E">
        <w:t>by reducing time to degree</w:t>
      </w:r>
      <w:r w:rsidR="0069302A">
        <w:t xml:space="preserve"> (TTD)</w:t>
      </w:r>
      <w:r>
        <w:t xml:space="preserve">. </w:t>
      </w:r>
    </w:p>
    <w:p w:rsidR="009453C8" w:rsidRDefault="00071134" w:rsidP="00071134">
      <w:pPr>
        <w:pStyle w:val="ListParagraph"/>
        <w:numPr>
          <w:ilvl w:val="0"/>
          <w:numId w:val="3"/>
        </w:numPr>
      </w:pPr>
      <w:r>
        <w:t>R</w:t>
      </w:r>
      <w:r w:rsidR="0008032E">
        <w:t xml:space="preserve">edesigning graduate curricula to prepare PhD’s for a </w:t>
      </w:r>
      <w:r w:rsidR="0069302A">
        <w:t xml:space="preserve">diverse array </w:t>
      </w:r>
      <w:r w:rsidR="0008032E">
        <w:t xml:space="preserve">of meaningful, socially productive and personally rewarding careers within and outside the academy. </w:t>
      </w:r>
    </w:p>
    <w:p w:rsidR="0069302A" w:rsidRDefault="0069302A"/>
    <w:p w:rsidR="0069302A" w:rsidRDefault="0069302A">
      <w:r>
        <w:t xml:space="preserve">We believe that TTD </w:t>
      </w:r>
      <w:r w:rsidR="00285105">
        <w:t xml:space="preserve">may be lowered </w:t>
      </w:r>
      <w:r>
        <w:t>and diversification of career</w:t>
      </w:r>
      <w:r w:rsidR="00BC7ECE">
        <w:t xml:space="preserve"> paths </w:t>
      </w:r>
      <w:r w:rsidR="00285105">
        <w:t>will</w:t>
      </w:r>
      <w:r w:rsidR="00BC7ECE">
        <w:t xml:space="preserve"> be facilitated by a bold rethinking of human</w:t>
      </w:r>
      <w:r w:rsidR="00285105">
        <w:t>i</w:t>
      </w:r>
      <w:r w:rsidR="00BC7ECE">
        <w:t>ties graduate curricula. This requires substantial buy-</w:t>
      </w:r>
      <w:r w:rsidR="00071134">
        <w:t>i</w:t>
      </w:r>
      <w:r w:rsidR="00BC7ECE">
        <w:t>n by the university and by the</w:t>
      </w:r>
      <w:r w:rsidR="00285105">
        <w:t xml:space="preserve"> relevant</w:t>
      </w:r>
      <w:r w:rsidR="00BC7ECE">
        <w:t xml:space="preserve"> departments. </w:t>
      </w:r>
      <w:r w:rsidR="00071134">
        <w:t xml:space="preserve">That buy-in entails two substantial policy changes: </w:t>
      </w:r>
    </w:p>
    <w:p w:rsidR="0069302A" w:rsidRDefault="0069302A"/>
    <w:p w:rsidR="0069302A" w:rsidRDefault="0069302A" w:rsidP="0069302A">
      <w:pPr>
        <w:pStyle w:val="ListParagraph"/>
        <w:numPr>
          <w:ilvl w:val="0"/>
          <w:numId w:val="1"/>
        </w:numPr>
      </w:pPr>
      <w:r>
        <w:t>Stanford should recognize graduate study</w:t>
      </w:r>
      <w:r w:rsidR="00285105">
        <w:t xml:space="preserve"> in humanities as a full-</w:t>
      </w:r>
      <w:r>
        <w:t>time occupation during a limited TTD</w:t>
      </w:r>
      <w:r w:rsidR="00285105">
        <w:t xml:space="preserve"> (exact times may vary by department, but the goal should be to push the number down)</w:t>
      </w:r>
      <w:r>
        <w:t xml:space="preserve">. This requires a university commitment to augmenting existing departmental resources such that every PhD student has 12-month </w:t>
      </w:r>
      <w:r w:rsidR="00285105">
        <w:t xml:space="preserve">(four-quarter) </w:t>
      </w:r>
      <w:r>
        <w:t xml:space="preserve">support during the period of </w:t>
      </w:r>
      <w:r w:rsidR="00285105">
        <w:t xml:space="preserve">graduate </w:t>
      </w:r>
      <w:r>
        <w:t xml:space="preserve">enrollment. </w:t>
      </w:r>
      <w:r w:rsidR="007D3C82">
        <w:t>Unfunded summers impede progress.</w:t>
      </w:r>
    </w:p>
    <w:p w:rsidR="0069302A" w:rsidRDefault="0069302A" w:rsidP="0069302A">
      <w:pPr>
        <w:pStyle w:val="ListParagraph"/>
        <w:numPr>
          <w:ilvl w:val="0"/>
          <w:numId w:val="1"/>
        </w:numPr>
      </w:pPr>
      <w:r>
        <w:t xml:space="preserve">In order to be </w:t>
      </w:r>
      <w:r w:rsidR="00BC7ECE">
        <w:t>eligible for the</w:t>
      </w:r>
      <w:r w:rsidR="007D3C82">
        <w:t>se</w:t>
      </w:r>
      <w:r w:rsidR="00BC7ECE">
        <w:t xml:space="preserve"> new resources, each humanities department </w:t>
      </w:r>
      <w:r w:rsidR="007D3C82">
        <w:t xml:space="preserve">should </w:t>
      </w:r>
      <w:r w:rsidR="00BC7ECE">
        <w:t xml:space="preserve">submit a detailed curricular plan, specifying how it will move students through the program in a timely fashion. The new curricular plans must address the question of </w:t>
      </w:r>
      <w:r w:rsidR="00285105">
        <w:t xml:space="preserve">training students for </w:t>
      </w:r>
      <w:r w:rsidR="00BC7ECE">
        <w:t xml:space="preserve">diverse career paths. </w:t>
      </w:r>
      <w:r w:rsidR="00C660C2">
        <w:t>We recognize that this diversity may require plans for varied training trajectories including, for example, front-loading the acquisition of certain necessary skills.</w:t>
      </w:r>
    </w:p>
    <w:p w:rsidR="00BC7ECE" w:rsidRDefault="00BC7ECE" w:rsidP="00BC7ECE"/>
    <w:p w:rsidR="001A70DA" w:rsidRDefault="00BC7ECE" w:rsidP="00BC7ECE">
      <w:r>
        <w:t>Specifics</w:t>
      </w:r>
      <w:r w:rsidR="00071134">
        <w:t xml:space="preserve"> for implementation of the new policies</w:t>
      </w:r>
      <w:r w:rsidR="001A70DA">
        <w:t xml:space="preserve"> </w:t>
      </w:r>
    </w:p>
    <w:p w:rsidR="00285105" w:rsidRDefault="00285105" w:rsidP="00BC7ECE"/>
    <w:p w:rsidR="00BC7ECE" w:rsidRDefault="001A70DA" w:rsidP="00BC7ECE">
      <w:r>
        <w:t>R</w:t>
      </w:r>
      <w:r w:rsidR="003F1C8F">
        <w:t>esponsibilities of students</w:t>
      </w:r>
      <w:r w:rsidR="00BC7ECE">
        <w:t xml:space="preserve">. </w:t>
      </w:r>
    </w:p>
    <w:p w:rsidR="00BC7ECE" w:rsidRDefault="00BC7ECE" w:rsidP="003F1C8F">
      <w:pPr>
        <w:pStyle w:val="ListParagraph"/>
        <w:numPr>
          <w:ilvl w:val="0"/>
          <w:numId w:val="2"/>
        </w:numPr>
      </w:pPr>
      <w:r>
        <w:t xml:space="preserve">Students must develop a clear sense of their career options and decide </w:t>
      </w:r>
      <w:r w:rsidR="003F1C8F">
        <w:t>upon, and file with their department</w:t>
      </w:r>
      <w:r w:rsidR="00285105">
        <w:t xml:space="preserve"> in writing</w:t>
      </w:r>
      <w:r w:rsidR="003F1C8F">
        <w:t>,</w:t>
      </w:r>
      <w:r>
        <w:t xml:space="preserve"> a ranked list of preferences </w:t>
      </w:r>
      <w:r w:rsidR="00285105">
        <w:t>by the end of</w:t>
      </w:r>
      <w:r>
        <w:t xml:space="preserve"> their </w:t>
      </w:r>
      <w:r w:rsidR="00285105">
        <w:t>second year</w:t>
      </w:r>
      <w:r>
        <w:t xml:space="preserve"> of graduate stud</w:t>
      </w:r>
      <w:r w:rsidR="003F1C8F">
        <w:t>y. Their s</w:t>
      </w:r>
      <w:r w:rsidR="00285105">
        <w:t>ubsequent preparation --</w:t>
      </w:r>
      <w:r w:rsidR="003F1C8F">
        <w:t xml:space="preserve"> coursework, fourth-quarter (summer) projects, dissertation work </w:t>
      </w:r>
      <w:r w:rsidR="00285105">
        <w:t xml:space="preserve">-- </w:t>
      </w:r>
      <w:r w:rsidR="003F1C8F">
        <w:t>must realistically support the careers on</w:t>
      </w:r>
      <w:r>
        <w:t xml:space="preserve"> </w:t>
      </w:r>
      <w:r w:rsidR="003F1C8F">
        <w:t>that ranked list</w:t>
      </w:r>
      <w:r w:rsidR="007D3C82">
        <w:t>.</w:t>
      </w:r>
      <w:r w:rsidR="003F1C8F">
        <w:t xml:space="preserve"> (The list may be amended in consultation with advisors). </w:t>
      </w:r>
    </w:p>
    <w:p w:rsidR="003F1C8F" w:rsidRDefault="003F1C8F" w:rsidP="003F1C8F">
      <w:pPr>
        <w:pStyle w:val="ListParagraph"/>
        <w:numPr>
          <w:ilvl w:val="0"/>
          <w:numId w:val="2"/>
        </w:numPr>
      </w:pPr>
      <w:r>
        <w:t xml:space="preserve">Students must use their </w:t>
      </w:r>
      <w:r w:rsidR="00285105">
        <w:t xml:space="preserve">annual </w:t>
      </w:r>
      <w:r>
        <w:t xml:space="preserve">fourth-quarter (summer) funding to </w:t>
      </w:r>
      <w:r w:rsidR="00C660C2">
        <w:t xml:space="preserve">complete degree requirements as expeditiously as possible and to </w:t>
      </w:r>
      <w:r>
        <w:t xml:space="preserve">prepare for the careers on their ranked list. </w:t>
      </w:r>
      <w:r w:rsidR="00C660C2">
        <w:t>Some departments may propose offering the option of taking a funded summer prior to the first full year of enrollment in order to facilitate certain particular skills acquisition.</w:t>
      </w:r>
    </w:p>
    <w:p w:rsidR="003F1C8F" w:rsidRDefault="003F1C8F" w:rsidP="003F1C8F">
      <w:pPr>
        <w:pStyle w:val="ListParagraph"/>
        <w:numPr>
          <w:ilvl w:val="0"/>
          <w:numId w:val="2"/>
        </w:numPr>
      </w:pPr>
      <w:r>
        <w:t>Students must choose dissertation advisors</w:t>
      </w:r>
      <w:r w:rsidR="001A70DA">
        <w:t>, reading committees,</w:t>
      </w:r>
      <w:r>
        <w:t xml:space="preserve"> and dissertat</w:t>
      </w:r>
      <w:r w:rsidR="00FE0A26">
        <w:t xml:space="preserve">ion projects suited to careers </w:t>
      </w:r>
      <w:r>
        <w:t xml:space="preserve">on their ranked list. </w:t>
      </w:r>
    </w:p>
    <w:p w:rsidR="001A70DA" w:rsidRDefault="001A70DA" w:rsidP="001A70DA"/>
    <w:p w:rsidR="001A70DA" w:rsidRDefault="001A70DA" w:rsidP="001A70DA">
      <w:r>
        <w:t xml:space="preserve">Responsibilities of departments. </w:t>
      </w:r>
    </w:p>
    <w:p w:rsidR="006A6529" w:rsidRDefault="006A6529" w:rsidP="003F1C8F">
      <w:pPr>
        <w:pStyle w:val="ListParagraph"/>
        <w:numPr>
          <w:ilvl w:val="0"/>
          <w:numId w:val="2"/>
        </w:numPr>
      </w:pPr>
      <w:r>
        <w:t xml:space="preserve">First- and second-year curricula must be designed to provide students with strong foundations in the field, and must ready them to make well-informed career choices by the end of the second year. </w:t>
      </w:r>
      <w:r w:rsidR="009D2219">
        <w:t>In so doing, they should aim to balance academic training in a particular discipline and field with the provision of broader professional perspectives that may extend beyond the traditional academic setting.</w:t>
      </w:r>
    </w:p>
    <w:p w:rsidR="001A70DA" w:rsidRDefault="003F1C8F" w:rsidP="003F1C8F">
      <w:pPr>
        <w:pStyle w:val="ListParagraph"/>
        <w:numPr>
          <w:ilvl w:val="0"/>
          <w:numId w:val="2"/>
        </w:numPr>
      </w:pPr>
      <w:r>
        <w:t>Departments must clarify the benchmarks that students must achieve in order to</w:t>
      </w:r>
      <w:r w:rsidR="00285105">
        <w:t xml:space="preserve"> demonstrate good progress, and thus</w:t>
      </w:r>
      <w:r>
        <w:t xml:space="preserve"> remain in their program. </w:t>
      </w:r>
    </w:p>
    <w:p w:rsidR="006A6529" w:rsidRDefault="001A70DA" w:rsidP="003F1C8F">
      <w:pPr>
        <w:pStyle w:val="ListParagraph"/>
        <w:numPr>
          <w:ilvl w:val="0"/>
          <w:numId w:val="2"/>
        </w:numPr>
      </w:pPr>
      <w:r>
        <w:t xml:space="preserve">Advising </w:t>
      </w:r>
      <w:r w:rsidR="00A3175D">
        <w:t xml:space="preserve">of students </w:t>
      </w:r>
      <w:r>
        <w:t xml:space="preserve">must be </w:t>
      </w:r>
      <w:r w:rsidR="006A6529">
        <w:t xml:space="preserve">regular, realistic, and aligned with the career goals of the student. </w:t>
      </w:r>
    </w:p>
    <w:p w:rsidR="001A70DA" w:rsidRDefault="006A6529" w:rsidP="003F1C8F">
      <w:pPr>
        <w:pStyle w:val="ListParagraph"/>
        <w:numPr>
          <w:ilvl w:val="0"/>
          <w:numId w:val="2"/>
        </w:numPr>
      </w:pPr>
      <w:r>
        <w:t>Students must receive regular (annual) assessments of their progress, with specific requirements clearly listed, along with the consequences (</w:t>
      </w:r>
      <w:r w:rsidR="003918B5">
        <w:t xml:space="preserve">including </w:t>
      </w:r>
      <w:r>
        <w:t>termination from program) for failure to complete requirements.</w:t>
      </w:r>
    </w:p>
    <w:p w:rsidR="001A70DA" w:rsidRDefault="003F1C8F" w:rsidP="003F1C8F">
      <w:pPr>
        <w:pStyle w:val="ListParagraph"/>
        <w:numPr>
          <w:ilvl w:val="0"/>
          <w:numId w:val="2"/>
        </w:numPr>
      </w:pPr>
      <w:r>
        <w:t xml:space="preserve">There must be a serious review at the end by the second year to determine which students will advance to candidacy, and which will receive a terminal M.A. </w:t>
      </w:r>
    </w:p>
    <w:p w:rsidR="003F1C8F" w:rsidRDefault="003F1C8F" w:rsidP="003F1C8F">
      <w:pPr>
        <w:pStyle w:val="ListParagraph"/>
        <w:numPr>
          <w:ilvl w:val="0"/>
          <w:numId w:val="2"/>
        </w:numPr>
      </w:pPr>
      <w:r>
        <w:t xml:space="preserve">Comprehensive (general) exams must be completed by no later than the first quarter of the third year. </w:t>
      </w:r>
    </w:p>
    <w:p w:rsidR="003F1C8F" w:rsidRDefault="003F1C8F" w:rsidP="003F1C8F">
      <w:pPr>
        <w:pStyle w:val="ListParagraph"/>
        <w:numPr>
          <w:ilvl w:val="0"/>
          <w:numId w:val="2"/>
        </w:numPr>
      </w:pPr>
      <w:r>
        <w:t>Per A (above) TA and RA assignments (beyond a one-year required minimum) must</w:t>
      </w:r>
      <w:r w:rsidR="00A3175D">
        <w:t xml:space="preserve"> be designed to</w:t>
      </w:r>
      <w:r>
        <w:t xml:space="preserve"> further the specific career preferences of the student. </w:t>
      </w:r>
    </w:p>
    <w:p w:rsidR="00E11C5B" w:rsidRDefault="00E11C5B" w:rsidP="003F1C8F">
      <w:pPr>
        <w:pStyle w:val="ListParagraph"/>
        <w:numPr>
          <w:ilvl w:val="0"/>
          <w:numId w:val="2"/>
        </w:numPr>
      </w:pPr>
      <w:r>
        <w:t>Departments must provide clear guidelines regarding expectations for the dissertation, including considerations for alternatives to the traditional dissertation format, when appropriate for a student’s career goals. Departments much guarantee that students receive timely and effective guidance during the dissertation phase.</w:t>
      </w:r>
    </w:p>
    <w:p w:rsidR="00280C32" w:rsidRDefault="00280C32" w:rsidP="00280C32"/>
    <w:p w:rsidR="003918B5" w:rsidRDefault="00280C32" w:rsidP="00280C32">
      <w:r>
        <w:t xml:space="preserve">In summary, we </w:t>
      </w:r>
      <w:r w:rsidR="003918B5">
        <w:t>request</w:t>
      </w:r>
      <w:r>
        <w:t xml:space="preserve"> that the university make twelve-month funding available during a period shorter than the current TTD. This funding should be made available exclusively to departments that develop </w:t>
      </w:r>
      <w:r w:rsidR="003918B5">
        <w:t xml:space="preserve">convincing </w:t>
      </w:r>
      <w:r>
        <w:t>plans—in terms of curricula, examination</w:t>
      </w:r>
      <w:r w:rsidR="003918B5">
        <w:t xml:space="preserve"> schedule</w:t>
      </w:r>
      <w:r>
        <w:t xml:space="preserve">, advising and dissertation options—that will facilitate completion within a specified length of time. We believe this period should be no more than five years. </w:t>
      </w:r>
      <w:r w:rsidR="00DF212A">
        <w:t xml:space="preserve"> Currently Stanford </w:t>
      </w:r>
      <w:r w:rsidR="00E11C5B">
        <w:t xml:space="preserve">culture </w:t>
      </w:r>
      <w:r w:rsidR="00DF212A">
        <w:t xml:space="preserve">encourages students to take longer </w:t>
      </w:r>
      <w:r w:rsidR="00911B2D">
        <w:t>than five years with the help of</w:t>
      </w:r>
      <w:r w:rsidR="00DF212A">
        <w:t xml:space="preserve"> prestigious dissertation fellowship</w:t>
      </w:r>
      <w:bookmarkStart w:id="0" w:name="_GoBack"/>
      <w:bookmarkEnd w:id="0"/>
      <w:r w:rsidR="00DF212A">
        <w:t xml:space="preserve"> </w:t>
      </w:r>
      <w:r w:rsidR="00911B2D">
        <w:t>competitions</w:t>
      </w:r>
      <w:r w:rsidR="00DF212A">
        <w:t xml:space="preserve">. We believe that financial support should be structured as </w:t>
      </w:r>
      <w:r w:rsidR="003918B5">
        <w:t xml:space="preserve">an </w:t>
      </w:r>
      <w:r w:rsidR="00DF212A">
        <w:t xml:space="preserve">incentive to finish earlier, not later. </w:t>
      </w:r>
    </w:p>
    <w:p w:rsidR="003918B5" w:rsidRDefault="003918B5" w:rsidP="00280C32"/>
    <w:p w:rsidR="00280C32" w:rsidRDefault="00DF212A" w:rsidP="00280C32">
      <w:r>
        <w:t xml:space="preserve">Any change in funding, however, along the lines we suggest, should be contingent on the presentation by departments of compelling plans to enable students to complete degree requirements in </w:t>
      </w:r>
      <w:r w:rsidR="00911B2D">
        <w:t>no more than five years</w:t>
      </w:r>
      <w:r>
        <w:t xml:space="preserve"> and to prepare them for specific career goals.</w:t>
      </w:r>
      <w:r w:rsidR="003918B5">
        <w:t xml:space="preserve"> If the requested supplementary funding is granted, we propose that the implementation of the plans be reviewed after five years, and that departments that fail to reduce current TTD forfeit the additional funding.</w:t>
      </w:r>
    </w:p>
    <w:p w:rsidR="00911B2D" w:rsidRDefault="00911B2D" w:rsidP="00280C32"/>
    <w:p w:rsidR="00911B2D" w:rsidRDefault="00911B2D" w:rsidP="00280C32"/>
    <w:p w:rsidR="00911B2D" w:rsidRDefault="00911B2D" w:rsidP="00280C32">
      <w:r>
        <w:t>Russell A. Berman</w:t>
      </w:r>
    </w:p>
    <w:p w:rsidR="00911B2D" w:rsidRDefault="00911B2D" w:rsidP="00280C32">
      <w:r>
        <w:t>Chris Bobonich</w:t>
      </w:r>
    </w:p>
    <w:p w:rsidR="00911B2D" w:rsidRDefault="00911B2D" w:rsidP="00280C32">
      <w:r>
        <w:t>Josh Ober</w:t>
      </w:r>
    </w:p>
    <w:p w:rsidR="00911B2D" w:rsidRDefault="00911B2D" w:rsidP="00280C32">
      <w:r>
        <w:t>Gabriella Safran</w:t>
      </w:r>
    </w:p>
    <w:p w:rsidR="00911B2D" w:rsidRDefault="00911B2D" w:rsidP="00280C32">
      <w:r>
        <w:t>Jennifer Summit</w:t>
      </w:r>
    </w:p>
    <w:p w:rsidR="00911B2D" w:rsidRDefault="00911B2D" w:rsidP="00280C32">
      <w:r>
        <w:t>Caroline Winterer</w:t>
      </w:r>
    </w:p>
    <w:p w:rsidR="00BC7ECE" w:rsidRDefault="00BC7ECE" w:rsidP="00BC7ECE">
      <w:pPr>
        <w:ind w:left="360"/>
      </w:pPr>
    </w:p>
    <w:p w:rsidR="00BC7ECE" w:rsidRDefault="00BC7ECE" w:rsidP="00BC7ECE"/>
    <w:sectPr w:rsidR="00BC7ECE" w:rsidSect="00C413A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22B"/>
    <w:multiLevelType w:val="hybridMultilevel"/>
    <w:tmpl w:val="4C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B578D"/>
    <w:multiLevelType w:val="hybridMultilevel"/>
    <w:tmpl w:val="9A6A6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6463A"/>
    <w:multiLevelType w:val="hybridMultilevel"/>
    <w:tmpl w:val="D8DC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savePreviewPicture/>
  <w:compat>
    <w:useFELayout/>
  </w:compat>
  <w:rsids>
    <w:rsidRoot w:val="009453C8"/>
    <w:rsid w:val="0000562F"/>
    <w:rsid w:val="00071134"/>
    <w:rsid w:val="0008032E"/>
    <w:rsid w:val="000931F3"/>
    <w:rsid w:val="001A70DA"/>
    <w:rsid w:val="00280C32"/>
    <w:rsid w:val="00285105"/>
    <w:rsid w:val="002C3D85"/>
    <w:rsid w:val="002C75FF"/>
    <w:rsid w:val="00305C6C"/>
    <w:rsid w:val="003102C4"/>
    <w:rsid w:val="00371B07"/>
    <w:rsid w:val="003918B5"/>
    <w:rsid w:val="003F1C8F"/>
    <w:rsid w:val="005A584C"/>
    <w:rsid w:val="005C26C2"/>
    <w:rsid w:val="0069302A"/>
    <w:rsid w:val="006A6529"/>
    <w:rsid w:val="007C5071"/>
    <w:rsid w:val="007D3C82"/>
    <w:rsid w:val="00911B2D"/>
    <w:rsid w:val="009453C8"/>
    <w:rsid w:val="009A5875"/>
    <w:rsid w:val="009D2219"/>
    <w:rsid w:val="00A3175D"/>
    <w:rsid w:val="00AB1713"/>
    <w:rsid w:val="00AE77E3"/>
    <w:rsid w:val="00BC7ECE"/>
    <w:rsid w:val="00C413A9"/>
    <w:rsid w:val="00C660C2"/>
    <w:rsid w:val="00CE5D86"/>
    <w:rsid w:val="00DF212A"/>
    <w:rsid w:val="00E11C5B"/>
    <w:rsid w:val="00E56027"/>
    <w:rsid w:val="00FE0A2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302A"/>
    <w:pPr>
      <w:ind w:left="720"/>
      <w:contextualSpacing/>
    </w:pPr>
  </w:style>
  <w:style w:type="paragraph" w:styleId="BalloonText">
    <w:name w:val="Balloon Text"/>
    <w:basedOn w:val="Normal"/>
    <w:link w:val="BalloonTextChar"/>
    <w:uiPriority w:val="99"/>
    <w:semiHidden/>
    <w:unhideWhenUsed/>
    <w:rsid w:val="009D2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2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2A"/>
    <w:pPr>
      <w:ind w:left="720"/>
      <w:contextualSpacing/>
    </w:pPr>
  </w:style>
  <w:style w:type="paragraph" w:styleId="BalloonText">
    <w:name w:val="Balloon Text"/>
    <w:basedOn w:val="Normal"/>
    <w:link w:val="BalloonTextChar"/>
    <w:uiPriority w:val="99"/>
    <w:semiHidden/>
    <w:unhideWhenUsed/>
    <w:rsid w:val="009D2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21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9DE2-E47F-374D-8FEE-10891AB6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6422</Characters>
  <Application>Microsoft Macintosh Word</Application>
  <DocSecurity>0</DocSecurity>
  <Lines>53</Lines>
  <Paragraphs>12</Paragraphs>
  <ScaleCrop>false</ScaleCrop>
  <Company>Stanford University</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Ober</dc:creator>
  <cp:keywords/>
  <dc:description/>
  <cp:lastModifiedBy>Diane Jakubowski</cp:lastModifiedBy>
  <cp:revision>2</cp:revision>
  <dcterms:created xsi:type="dcterms:W3CDTF">2012-05-03T22:13:00Z</dcterms:created>
  <dcterms:modified xsi:type="dcterms:W3CDTF">2012-05-03T22:13:00Z</dcterms:modified>
</cp:coreProperties>
</file>